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14"/>
        <w:gridCol w:w="860"/>
        <w:gridCol w:w="2870"/>
        <w:gridCol w:w="2143"/>
        <w:gridCol w:w="2402"/>
        <w:gridCol w:w="1213"/>
        <w:gridCol w:w="3614"/>
      </w:tblGrid>
      <w:tr w:rsidR="00332800" w:rsidRPr="00332800" w14:paraId="070AC888" w14:textId="77777777" w:rsidTr="00646F90">
        <w:tc>
          <w:tcPr>
            <w:tcW w:w="7308" w:type="dxa"/>
            <w:gridSpan w:val="4"/>
            <w:tcBorders>
              <w:bottom w:val="single" w:sz="4" w:space="0" w:color="auto"/>
            </w:tcBorders>
            <w:shd w:val="clear" w:color="auto" w:fill="000000" w:themeFill="text1"/>
            <w:vAlign w:val="center"/>
          </w:tcPr>
          <w:p w14:paraId="5287DB8E" w14:textId="77777777" w:rsidR="00332800" w:rsidRPr="00E62D26" w:rsidRDefault="00332800" w:rsidP="00332800">
            <w:pPr>
              <w:rPr>
                <w:rFonts w:asciiTheme="minorHAnsi" w:hAnsiTheme="minorHAnsi"/>
                <w:b/>
              </w:rPr>
            </w:pPr>
            <w:r w:rsidRPr="00E62D26">
              <w:rPr>
                <w:rFonts w:asciiTheme="minorHAnsi" w:hAnsiTheme="minorHAnsi"/>
                <w:b/>
                <w:sz w:val="48"/>
              </w:rPr>
              <w:t>Assessment Connections Matrix</w:t>
            </w:r>
          </w:p>
        </w:tc>
        <w:tc>
          <w:tcPr>
            <w:tcW w:w="7308" w:type="dxa"/>
            <w:gridSpan w:val="3"/>
            <w:tcBorders>
              <w:bottom w:val="single" w:sz="4" w:space="0" w:color="auto"/>
            </w:tcBorders>
            <w:shd w:val="clear" w:color="auto" w:fill="000000" w:themeFill="text1"/>
            <w:vAlign w:val="center"/>
          </w:tcPr>
          <w:p w14:paraId="40FEB8F8" w14:textId="1270BE58" w:rsidR="00332800" w:rsidRPr="00E62D26" w:rsidRDefault="00332800" w:rsidP="00332800">
            <w:pPr>
              <w:rPr>
                <w:rFonts w:asciiTheme="minorHAnsi" w:hAnsiTheme="minorHAnsi"/>
                <w:i/>
              </w:rPr>
            </w:pPr>
          </w:p>
        </w:tc>
      </w:tr>
      <w:tr w:rsidR="00332800" w:rsidRPr="00332800" w14:paraId="12CE8CD9" w14:textId="77777777" w:rsidTr="00646F90">
        <w:tc>
          <w:tcPr>
            <w:tcW w:w="14616" w:type="dxa"/>
            <w:gridSpan w:val="7"/>
            <w:tcBorders>
              <w:left w:val="nil"/>
              <w:bottom w:val="single" w:sz="4" w:space="0" w:color="auto"/>
              <w:right w:val="nil"/>
            </w:tcBorders>
          </w:tcPr>
          <w:p w14:paraId="43BBB2FE" w14:textId="77777777" w:rsidR="00332800" w:rsidRPr="00E62D26" w:rsidRDefault="00332800">
            <w:pPr>
              <w:rPr>
                <w:rFonts w:asciiTheme="minorHAnsi" w:hAnsiTheme="minorHAnsi"/>
                <w:sz w:val="16"/>
              </w:rPr>
            </w:pPr>
          </w:p>
        </w:tc>
      </w:tr>
      <w:tr w:rsidR="00332800" w:rsidRPr="00332800" w14:paraId="47E9647F" w14:textId="77777777" w:rsidTr="00454F49">
        <w:trPr>
          <w:trHeight w:val="5129"/>
        </w:trPr>
        <w:tc>
          <w:tcPr>
            <w:tcW w:w="1394" w:type="dxa"/>
            <w:tcBorders>
              <w:bottom w:val="single" w:sz="4" w:space="0" w:color="auto"/>
            </w:tcBorders>
            <w:shd w:val="clear" w:color="auto" w:fill="D9D9D9" w:themeFill="background1" w:themeFillShade="D9"/>
            <w:vAlign w:val="center"/>
          </w:tcPr>
          <w:p w14:paraId="18FE1AC1" w14:textId="77777777" w:rsidR="00332800" w:rsidRPr="00E62D26" w:rsidRDefault="00332800" w:rsidP="00332800">
            <w:pPr>
              <w:jc w:val="center"/>
              <w:rPr>
                <w:rFonts w:asciiTheme="minorHAnsi" w:hAnsiTheme="minorHAnsi"/>
                <w:b/>
              </w:rPr>
            </w:pPr>
            <w:r w:rsidRPr="00E62D26">
              <w:rPr>
                <w:rFonts w:asciiTheme="minorHAnsi" w:hAnsiTheme="minorHAnsi"/>
                <w:b/>
              </w:rPr>
              <w:t>My Assessment Philosophy</w:t>
            </w:r>
          </w:p>
        </w:tc>
        <w:tc>
          <w:tcPr>
            <w:tcW w:w="13222" w:type="dxa"/>
            <w:gridSpan w:val="6"/>
            <w:tcBorders>
              <w:bottom w:val="single" w:sz="4" w:space="0" w:color="auto"/>
            </w:tcBorders>
            <w:vAlign w:val="center"/>
          </w:tcPr>
          <w:p w14:paraId="1554B9B9" w14:textId="196B2094" w:rsidR="00DA0A4C" w:rsidRDefault="008A1A4F" w:rsidP="00DA0A4C">
            <w:pPr>
              <w:jc w:val="center"/>
              <w:rPr>
                <w:rFonts w:asciiTheme="minorHAnsi" w:hAnsiTheme="minorHAnsi"/>
              </w:rPr>
            </w:pPr>
            <w:r w:rsidRPr="00DA0A4C">
              <w:rPr>
                <w:rFonts w:asciiTheme="minorHAnsi" w:hAnsiTheme="minorHAnsi"/>
                <w:b/>
                <w:sz w:val="30"/>
                <w:szCs w:val="30"/>
              </w:rPr>
              <w:t>I believe</w:t>
            </w:r>
            <w:r w:rsidR="00DA0A4C" w:rsidRPr="00DA0A4C">
              <w:rPr>
                <w:rFonts w:asciiTheme="minorHAnsi" w:hAnsiTheme="minorHAnsi"/>
                <w:b/>
                <w:sz w:val="30"/>
                <w:szCs w:val="30"/>
              </w:rPr>
              <w:t>:</w:t>
            </w:r>
            <w:r>
              <w:rPr>
                <w:rFonts w:asciiTheme="minorHAnsi" w:hAnsiTheme="minorHAnsi"/>
              </w:rPr>
              <w:t xml:space="preserve"> all as</w:t>
            </w:r>
            <w:bookmarkStart w:id="0" w:name="_GoBack"/>
            <w:bookmarkEnd w:id="0"/>
            <w:r>
              <w:rPr>
                <w:rFonts w:asciiTheme="minorHAnsi" w:hAnsiTheme="minorHAnsi"/>
              </w:rPr>
              <w:t>sessment should promote student learning.</w:t>
            </w:r>
          </w:p>
          <w:p w14:paraId="1DE70739" w14:textId="7054B14B" w:rsidR="00DA0A4C" w:rsidRDefault="008A1A4F" w:rsidP="00DA0A4C">
            <w:pPr>
              <w:jc w:val="center"/>
              <w:rPr>
                <w:rFonts w:asciiTheme="minorHAnsi" w:hAnsiTheme="minorHAnsi"/>
              </w:rPr>
            </w:pPr>
            <w:r w:rsidRPr="00DA0A4C">
              <w:rPr>
                <w:rFonts w:asciiTheme="minorHAnsi" w:hAnsiTheme="minorHAnsi"/>
                <w:b/>
                <w:sz w:val="30"/>
                <w:szCs w:val="30"/>
              </w:rPr>
              <w:t>I believe</w:t>
            </w:r>
            <w:r w:rsidR="00DA0A4C" w:rsidRPr="00DA0A4C">
              <w:rPr>
                <w:rFonts w:asciiTheme="minorHAnsi" w:hAnsiTheme="minorHAnsi"/>
                <w:b/>
                <w:sz w:val="30"/>
                <w:szCs w:val="30"/>
              </w:rPr>
              <w:t>:</w:t>
            </w:r>
            <w:r>
              <w:rPr>
                <w:rFonts w:asciiTheme="minorHAnsi" w:hAnsiTheme="minorHAnsi"/>
              </w:rPr>
              <w:t xml:space="preserve"> students should be involved in all aspects of assessment: specifically the criteria on which they are to be assessed upon.</w:t>
            </w:r>
          </w:p>
          <w:p w14:paraId="61600A43" w14:textId="7C226D73" w:rsidR="00DA0A4C" w:rsidRDefault="008A1A4F" w:rsidP="00DA0A4C">
            <w:pPr>
              <w:jc w:val="center"/>
              <w:rPr>
                <w:rFonts w:asciiTheme="minorHAnsi" w:hAnsiTheme="minorHAnsi"/>
              </w:rPr>
            </w:pPr>
            <w:r w:rsidRPr="00DA0A4C">
              <w:rPr>
                <w:rFonts w:asciiTheme="minorHAnsi" w:hAnsiTheme="minorHAnsi"/>
                <w:b/>
                <w:sz w:val="30"/>
                <w:szCs w:val="30"/>
              </w:rPr>
              <w:t>I believe</w:t>
            </w:r>
            <w:r w:rsidR="00DA0A4C" w:rsidRPr="00DA0A4C">
              <w:rPr>
                <w:rFonts w:asciiTheme="minorHAnsi" w:hAnsiTheme="minorHAnsi"/>
                <w:b/>
                <w:sz w:val="30"/>
                <w:szCs w:val="30"/>
              </w:rPr>
              <w:t>:</w:t>
            </w:r>
            <w:r>
              <w:rPr>
                <w:rFonts w:asciiTheme="minorHAnsi" w:hAnsiTheme="minorHAnsi"/>
              </w:rPr>
              <w:t xml:space="preserve"> students should continuously self –assess in order to become responsible for their own learning and develop a strong sense of metacognition.</w:t>
            </w:r>
          </w:p>
          <w:p w14:paraId="2F394882" w14:textId="1DCBF78D" w:rsidR="00DA0A4C" w:rsidRDefault="008A1A4F" w:rsidP="00DA0A4C">
            <w:pPr>
              <w:jc w:val="center"/>
              <w:rPr>
                <w:rFonts w:asciiTheme="minorHAnsi" w:hAnsiTheme="minorHAnsi"/>
              </w:rPr>
            </w:pPr>
            <w:r w:rsidRPr="00DA0A4C">
              <w:rPr>
                <w:rFonts w:asciiTheme="minorHAnsi" w:hAnsiTheme="minorHAnsi"/>
                <w:b/>
                <w:sz w:val="30"/>
                <w:szCs w:val="30"/>
              </w:rPr>
              <w:t>I believe</w:t>
            </w:r>
            <w:r w:rsidR="00DA0A4C" w:rsidRPr="00DA0A4C">
              <w:rPr>
                <w:rFonts w:asciiTheme="minorHAnsi" w:hAnsiTheme="minorHAnsi"/>
                <w:b/>
                <w:sz w:val="30"/>
                <w:szCs w:val="30"/>
              </w:rPr>
              <w:t>:</w:t>
            </w:r>
            <w:r>
              <w:rPr>
                <w:rFonts w:asciiTheme="minorHAnsi" w:hAnsiTheme="minorHAnsi"/>
              </w:rPr>
              <w:t xml:space="preserve"> assessment should be differentiated to meet students where they are a</w:t>
            </w:r>
            <w:r w:rsidR="00DA0A4C">
              <w:rPr>
                <w:rFonts w:asciiTheme="minorHAnsi" w:hAnsiTheme="minorHAnsi"/>
              </w:rPr>
              <w:t>t in their learning.</w:t>
            </w:r>
          </w:p>
          <w:p w14:paraId="5440D861" w14:textId="34E493E5" w:rsidR="00DA0A4C" w:rsidRDefault="00DA0A4C" w:rsidP="00DA0A4C">
            <w:pPr>
              <w:jc w:val="center"/>
              <w:rPr>
                <w:rFonts w:asciiTheme="minorHAnsi" w:hAnsiTheme="minorHAnsi"/>
              </w:rPr>
            </w:pPr>
            <w:r w:rsidRPr="00DA0A4C">
              <w:rPr>
                <w:rFonts w:asciiTheme="minorHAnsi" w:hAnsiTheme="minorHAnsi"/>
                <w:b/>
                <w:sz w:val="30"/>
                <w:szCs w:val="30"/>
              </w:rPr>
              <w:t>I believe:</w:t>
            </w:r>
            <w:r>
              <w:rPr>
                <w:rFonts w:asciiTheme="minorHAnsi" w:hAnsiTheme="minorHAnsi"/>
              </w:rPr>
              <w:t xml:space="preserve"> assessment that reflects student knowledge can only be achieved when students are made aware of the target they are trying to hit.</w:t>
            </w:r>
          </w:p>
          <w:p w14:paraId="6755213F" w14:textId="4FCDC17F" w:rsidR="00332800" w:rsidRPr="00E62D26" w:rsidRDefault="00DA0A4C" w:rsidP="00DA0A4C">
            <w:pPr>
              <w:jc w:val="center"/>
              <w:rPr>
                <w:rFonts w:asciiTheme="minorHAnsi" w:hAnsiTheme="minorHAnsi"/>
              </w:rPr>
            </w:pPr>
            <w:r w:rsidRPr="00DA0A4C">
              <w:rPr>
                <w:rFonts w:asciiTheme="minorHAnsi" w:hAnsiTheme="minorHAnsi"/>
                <w:b/>
                <w:sz w:val="30"/>
                <w:szCs w:val="30"/>
              </w:rPr>
              <w:t>I believe:</w:t>
            </w:r>
            <w:r>
              <w:rPr>
                <w:rFonts w:asciiTheme="minorHAnsi" w:hAnsiTheme="minorHAnsi"/>
              </w:rPr>
              <w:t xml:space="preserve"> it is the teacher’s responsibility to ensure assessment always promotes learning.</w:t>
            </w:r>
          </w:p>
        </w:tc>
      </w:tr>
      <w:tr w:rsidR="00B950CC" w:rsidRPr="00332800" w14:paraId="54D05046" w14:textId="77777777" w:rsidTr="00646F90">
        <w:tc>
          <w:tcPr>
            <w:tcW w:w="2268" w:type="dxa"/>
            <w:gridSpan w:val="2"/>
            <w:tcBorders>
              <w:top w:val="single" w:sz="4" w:space="0" w:color="auto"/>
              <w:left w:val="nil"/>
              <w:bottom w:val="single" w:sz="4" w:space="0" w:color="auto"/>
              <w:right w:val="nil"/>
            </w:tcBorders>
          </w:tcPr>
          <w:p w14:paraId="5FC14A94" w14:textId="77777777" w:rsidR="00332800" w:rsidRPr="00E62D26" w:rsidRDefault="00332800">
            <w:pPr>
              <w:rPr>
                <w:rFonts w:asciiTheme="minorHAnsi" w:hAnsiTheme="minorHAnsi"/>
                <w:sz w:val="16"/>
              </w:rPr>
            </w:pPr>
          </w:p>
        </w:tc>
        <w:tc>
          <w:tcPr>
            <w:tcW w:w="2880" w:type="dxa"/>
            <w:tcBorders>
              <w:top w:val="single" w:sz="4" w:space="0" w:color="auto"/>
              <w:left w:val="nil"/>
              <w:bottom w:val="single" w:sz="4" w:space="0" w:color="auto"/>
              <w:right w:val="nil"/>
            </w:tcBorders>
          </w:tcPr>
          <w:p w14:paraId="155705EE" w14:textId="77777777" w:rsidR="00332800" w:rsidRPr="00E62D26" w:rsidRDefault="00332800">
            <w:pPr>
              <w:rPr>
                <w:rFonts w:asciiTheme="minorHAnsi" w:hAnsiTheme="minorHAnsi"/>
                <w:sz w:val="16"/>
              </w:rPr>
            </w:pPr>
          </w:p>
        </w:tc>
        <w:tc>
          <w:tcPr>
            <w:tcW w:w="5814" w:type="dxa"/>
            <w:gridSpan w:val="3"/>
            <w:tcBorders>
              <w:top w:val="single" w:sz="4" w:space="0" w:color="auto"/>
              <w:left w:val="nil"/>
              <w:bottom w:val="single" w:sz="4" w:space="0" w:color="auto"/>
              <w:right w:val="nil"/>
            </w:tcBorders>
          </w:tcPr>
          <w:p w14:paraId="468B4018" w14:textId="77777777" w:rsidR="00332800" w:rsidRPr="00E62D26" w:rsidRDefault="00332800">
            <w:pPr>
              <w:rPr>
                <w:rFonts w:asciiTheme="minorHAnsi" w:hAnsiTheme="minorHAnsi"/>
                <w:sz w:val="16"/>
              </w:rPr>
            </w:pPr>
          </w:p>
        </w:tc>
        <w:tc>
          <w:tcPr>
            <w:tcW w:w="3654" w:type="dxa"/>
            <w:tcBorders>
              <w:top w:val="single" w:sz="4" w:space="0" w:color="auto"/>
              <w:left w:val="nil"/>
              <w:bottom w:val="single" w:sz="4" w:space="0" w:color="auto"/>
              <w:right w:val="nil"/>
            </w:tcBorders>
          </w:tcPr>
          <w:p w14:paraId="6726C13E" w14:textId="77777777" w:rsidR="00332800" w:rsidRPr="00E62D26" w:rsidRDefault="00332800">
            <w:pPr>
              <w:rPr>
                <w:rFonts w:asciiTheme="minorHAnsi" w:hAnsiTheme="minorHAnsi"/>
                <w:sz w:val="16"/>
              </w:rPr>
            </w:pPr>
          </w:p>
        </w:tc>
      </w:tr>
      <w:tr w:rsidR="00B950CC" w:rsidRPr="00332800" w14:paraId="23DFA66F" w14:textId="77777777" w:rsidTr="004E38D7">
        <w:tc>
          <w:tcPr>
            <w:tcW w:w="2268" w:type="dxa"/>
            <w:gridSpan w:val="2"/>
            <w:tcBorders>
              <w:top w:val="single" w:sz="4" w:space="0" w:color="auto"/>
            </w:tcBorders>
            <w:shd w:val="clear" w:color="auto" w:fill="D9D9D9" w:themeFill="background1" w:themeFillShade="D9"/>
          </w:tcPr>
          <w:p w14:paraId="0AB3E0B7" w14:textId="77777777" w:rsidR="00423154" w:rsidRPr="00E62D26" w:rsidRDefault="00423154">
            <w:pPr>
              <w:rPr>
                <w:rFonts w:asciiTheme="minorHAnsi" w:hAnsiTheme="minorHAnsi"/>
                <w:b/>
              </w:rPr>
            </w:pPr>
          </w:p>
          <w:p w14:paraId="56A464B8" w14:textId="77777777" w:rsidR="00332800" w:rsidRPr="00E62D26" w:rsidRDefault="00B950CC">
            <w:pPr>
              <w:rPr>
                <w:rFonts w:asciiTheme="minorHAnsi" w:hAnsiTheme="minorHAnsi"/>
                <w:b/>
              </w:rPr>
            </w:pPr>
            <w:r w:rsidRPr="00E62D26">
              <w:rPr>
                <w:rFonts w:asciiTheme="minorHAnsi" w:hAnsiTheme="minorHAnsi"/>
                <w:b/>
              </w:rPr>
              <w:t>Assessment Concept</w:t>
            </w:r>
          </w:p>
        </w:tc>
        <w:tc>
          <w:tcPr>
            <w:tcW w:w="2880" w:type="dxa"/>
            <w:tcBorders>
              <w:top w:val="single" w:sz="4" w:space="0" w:color="auto"/>
            </w:tcBorders>
            <w:shd w:val="clear" w:color="auto" w:fill="D9D9D9" w:themeFill="background1" w:themeFillShade="D9"/>
          </w:tcPr>
          <w:p w14:paraId="7BB8D822" w14:textId="77777777" w:rsidR="00332800" w:rsidRPr="00E62D26" w:rsidRDefault="00B950CC">
            <w:pPr>
              <w:rPr>
                <w:rFonts w:asciiTheme="minorHAnsi" w:hAnsiTheme="minorHAnsi"/>
                <w:b/>
              </w:rPr>
            </w:pPr>
            <w:r w:rsidRPr="00E62D26">
              <w:rPr>
                <w:rFonts w:asciiTheme="minorHAnsi" w:hAnsiTheme="minorHAnsi"/>
                <w:b/>
              </w:rPr>
              <w:t>Sources</w:t>
            </w:r>
          </w:p>
        </w:tc>
        <w:tc>
          <w:tcPr>
            <w:tcW w:w="4590" w:type="dxa"/>
            <w:gridSpan w:val="2"/>
            <w:tcBorders>
              <w:top w:val="single" w:sz="4" w:space="0" w:color="auto"/>
            </w:tcBorders>
            <w:shd w:val="clear" w:color="auto" w:fill="D9D9D9" w:themeFill="background1" w:themeFillShade="D9"/>
          </w:tcPr>
          <w:p w14:paraId="7D4882C3" w14:textId="77777777" w:rsidR="00332800" w:rsidRPr="00E62D26" w:rsidRDefault="00B950CC">
            <w:pPr>
              <w:rPr>
                <w:rFonts w:asciiTheme="minorHAnsi" w:hAnsiTheme="minorHAnsi"/>
                <w:b/>
              </w:rPr>
            </w:pPr>
            <w:r w:rsidRPr="00E62D26">
              <w:rPr>
                <w:rFonts w:asciiTheme="minorHAnsi" w:hAnsiTheme="minorHAnsi"/>
                <w:b/>
              </w:rPr>
              <w:t>Summary</w:t>
            </w:r>
          </w:p>
        </w:tc>
        <w:tc>
          <w:tcPr>
            <w:tcW w:w="4878" w:type="dxa"/>
            <w:gridSpan w:val="2"/>
            <w:tcBorders>
              <w:top w:val="single" w:sz="4" w:space="0" w:color="auto"/>
            </w:tcBorders>
            <w:shd w:val="clear" w:color="auto" w:fill="D9D9D9" w:themeFill="background1" w:themeFillShade="D9"/>
          </w:tcPr>
          <w:p w14:paraId="61CD8120" w14:textId="77777777" w:rsidR="00332800" w:rsidRPr="00E62D26" w:rsidRDefault="00B950CC">
            <w:pPr>
              <w:rPr>
                <w:rFonts w:asciiTheme="minorHAnsi" w:hAnsiTheme="minorHAnsi"/>
                <w:b/>
              </w:rPr>
            </w:pPr>
            <w:r w:rsidRPr="00E62D26">
              <w:rPr>
                <w:rFonts w:asciiTheme="minorHAnsi" w:hAnsiTheme="minorHAnsi"/>
                <w:b/>
              </w:rPr>
              <w:t>Application in my Planning</w:t>
            </w:r>
          </w:p>
        </w:tc>
      </w:tr>
      <w:tr w:rsidR="00B950CC" w:rsidRPr="00332800" w14:paraId="67B6E7CC" w14:textId="77777777" w:rsidTr="00E67B45">
        <w:trPr>
          <w:trHeight w:val="565"/>
        </w:trPr>
        <w:tc>
          <w:tcPr>
            <w:tcW w:w="2268" w:type="dxa"/>
            <w:gridSpan w:val="2"/>
            <w:vAlign w:val="center"/>
          </w:tcPr>
          <w:p w14:paraId="131CBFDF" w14:textId="77777777" w:rsidR="00332800" w:rsidRPr="00E62D26" w:rsidRDefault="009C1EFC" w:rsidP="00B950CC">
            <w:pPr>
              <w:rPr>
                <w:rFonts w:asciiTheme="minorHAnsi" w:hAnsiTheme="minorHAnsi"/>
                <w:b/>
                <w:sz w:val="20"/>
                <w:szCs w:val="20"/>
              </w:rPr>
            </w:pPr>
            <w:r w:rsidRPr="00E62D26">
              <w:rPr>
                <w:rFonts w:asciiTheme="minorHAnsi" w:hAnsiTheme="minorHAnsi"/>
                <w:b/>
                <w:sz w:val="20"/>
                <w:szCs w:val="20"/>
              </w:rPr>
              <w:t>Assessing Knowledge Only</w:t>
            </w:r>
          </w:p>
        </w:tc>
        <w:tc>
          <w:tcPr>
            <w:tcW w:w="2880" w:type="dxa"/>
            <w:vAlign w:val="center"/>
          </w:tcPr>
          <w:p w14:paraId="50F98EE6" w14:textId="77777777" w:rsidR="00FB2221" w:rsidRPr="00E62D26" w:rsidRDefault="00FB2221" w:rsidP="00FB2221">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Kohn, A. (1999). From degrading to de-grading. </w:t>
            </w:r>
            <w:r w:rsidRPr="00E62D26">
              <w:rPr>
                <w:rFonts w:asciiTheme="minorHAnsi" w:eastAsia="Times New Roman" w:hAnsiTheme="minorHAnsi"/>
                <w:i/>
                <w:color w:val="000000"/>
                <w:sz w:val="20"/>
                <w:szCs w:val="20"/>
              </w:rPr>
              <w:t>High School Magazine, 6</w:t>
            </w:r>
            <w:r w:rsidRPr="00E62D26">
              <w:rPr>
                <w:rFonts w:asciiTheme="minorHAnsi" w:eastAsia="Times New Roman" w:hAnsiTheme="minorHAnsi"/>
                <w:color w:val="000000"/>
                <w:sz w:val="20"/>
                <w:szCs w:val="20"/>
              </w:rPr>
              <w:t>(5), 38-43.</w:t>
            </w:r>
          </w:p>
          <w:p w14:paraId="0D74D42A" w14:textId="77777777" w:rsidR="00E67B45" w:rsidRPr="00E62D26" w:rsidRDefault="00E67B45" w:rsidP="00E67B45">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Guskey, T. R. (2014). </w:t>
            </w:r>
            <w:r w:rsidRPr="00E62D26">
              <w:rPr>
                <w:rFonts w:asciiTheme="minorHAnsi" w:eastAsia="Times New Roman" w:hAnsiTheme="minorHAnsi"/>
                <w:i/>
                <w:color w:val="000000"/>
                <w:sz w:val="20"/>
                <w:szCs w:val="20"/>
              </w:rPr>
              <w:t>On your mark: Challenging the conventions of grading and reporting.</w:t>
            </w:r>
            <w:r w:rsidRPr="00E62D26">
              <w:rPr>
                <w:rFonts w:asciiTheme="minorHAnsi" w:eastAsia="Times New Roman" w:hAnsiTheme="minorHAnsi"/>
                <w:color w:val="000000"/>
                <w:sz w:val="20"/>
                <w:szCs w:val="20"/>
              </w:rPr>
              <w:t xml:space="preserve"> Bloomington, IN: Solution Tree Press.</w:t>
            </w:r>
          </w:p>
          <w:p w14:paraId="10EBF2F0" w14:textId="60B7FD14" w:rsidR="00332800" w:rsidRPr="00E62D26" w:rsidRDefault="00332800" w:rsidP="00E67B45">
            <w:pPr>
              <w:spacing w:after="240"/>
              <w:rPr>
                <w:rFonts w:asciiTheme="minorHAnsi" w:eastAsia="Times New Roman" w:hAnsiTheme="minorHAnsi"/>
                <w:color w:val="000000"/>
                <w:sz w:val="20"/>
                <w:szCs w:val="20"/>
              </w:rPr>
            </w:pPr>
          </w:p>
        </w:tc>
        <w:tc>
          <w:tcPr>
            <w:tcW w:w="4590" w:type="dxa"/>
            <w:gridSpan w:val="2"/>
            <w:vAlign w:val="center"/>
          </w:tcPr>
          <w:p w14:paraId="46D38B72" w14:textId="147D9C1E" w:rsidR="00332800" w:rsidRPr="00E62D26" w:rsidRDefault="00184DF2" w:rsidP="003F7C1F">
            <w:pPr>
              <w:rPr>
                <w:rFonts w:asciiTheme="minorHAnsi" w:hAnsiTheme="minorHAnsi"/>
                <w:sz w:val="20"/>
                <w:szCs w:val="20"/>
              </w:rPr>
            </w:pPr>
            <w:r w:rsidRPr="00E62D26">
              <w:rPr>
                <w:rFonts w:asciiTheme="minorHAnsi" w:hAnsiTheme="minorHAnsi"/>
                <w:sz w:val="20"/>
                <w:szCs w:val="20"/>
              </w:rPr>
              <w:t xml:space="preserve">Grades become inflated when teachers report on content that is not directly related to </w:t>
            </w:r>
            <w:r w:rsidR="003F7C1F" w:rsidRPr="00E62D26">
              <w:rPr>
                <w:rFonts w:asciiTheme="minorHAnsi" w:hAnsiTheme="minorHAnsi"/>
                <w:sz w:val="20"/>
                <w:szCs w:val="20"/>
              </w:rPr>
              <w:t xml:space="preserve">the knowledge a student has obtained during the course of the unit or instructional period. Some may argue that grades are necessary to motivate </w:t>
            </w:r>
            <w:r w:rsidR="00423154" w:rsidRPr="00E62D26">
              <w:rPr>
                <w:rFonts w:asciiTheme="minorHAnsi" w:hAnsiTheme="minorHAnsi"/>
                <w:sz w:val="20"/>
                <w:szCs w:val="20"/>
              </w:rPr>
              <w:t xml:space="preserve">students, however; the exact opposite happens. </w:t>
            </w:r>
            <w:r w:rsidR="003F7C1F" w:rsidRPr="00E62D26">
              <w:rPr>
                <w:rFonts w:asciiTheme="minorHAnsi" w:hAnsiTheme="minorHAnsi"/>
                <w:sz w:val="20"/>
                <w:szCs w:val="20"/>
              </w:rPr>
              <w:t xml:space="preserve">(Kohn, 1999). However, </w:t>
            </w:r>
            <w:r w:rsidR="00E67B45" w:rsidRPr="00E62D26">
              <w:rPr>
                <w:rFonts w:asciiTheme="minorHAnsi" w:hAnsiTheme="minorHAnsi"/>
                <w:sz w:val="20"/>
                <w:szCs w:val="20"/>
              </w:rPr>
              <w:t>Guskey (2014) states that including content that is not directly related to knowledge, “</w:t>
            </w:r>
            <w:r w:rsidR="00423154" w:rsidRPr="00E62D26">
              <w:rPr>
                <w:rFonts w:asciiTheme="minorHAnsi" w:hAnsiTheme="minorHAnsi"/>
                <w:sz w:val="20"/>
                <w:szCs w:val="20"/>
              </w:rPr>
              <w:t>distort[s] the meaning of grades and miscommunicate[s] vital information about students learning (p.90).</w:t>
            </w:r>
          </w:p>
        </w:tc>
        <w:tc>
          <w:tcPr>
            <w:tcW w:w="4878" w:type="dxa"/>
            <w:gridSpan w:val="2"/>
            <w:vAlign w:val="center"/>
          </w:tcPr>
          <w:p w14:paraId="3C997F56" w14:textId="49317DCC" w:rsidR="00332800" w:rsidRPr="00E62D26" w:rsidRDefault="00423154" w:rsidP="00423154">
            <w:pPr>
              <w:rPr>
                <w:rFonts w:asciiTheme="minorHAnsi" w:hAnsiTheme="minorHAnsi"/>
                <w:sz w:val="20"/>
                <w:szCs w:val="20"/>
              </w:rPr>
            </w:pPr>
            <w:r w:rsidRPr="00E62D26">
              <w:rPr>
                <w:rFonts w:asciiTheme="minorHAnsi" w:hAnsiTheme="minorHAnsi"/>
                <w:sz w:val="20"/>
                <w:szCs w:val="20"/>
              </w:rPr>
              <w:t>In my UAP, students will only receive grades based on o the ability to demonstrate what they have learnt. There aren’t any participation grades given to students, and there isn’t any bonus marks included within any of the summative or formative assessments throughout. Grades are solely related to a student’s knowledge</w:t>
            </w:r>
            <w:proofErr w:type="gramStart"/>
            <w:r w:rsidRPr="00E62D26">
              <w:rPr>
                <w:rFonts w:asciiTheme="minorHAnsi" w:hAnsiTheme="minorHAnsi"/>
                <w:sz w:val="20"/>
                <w:szCs w:val="20"/>
              </w:rPr>
              <w:t>;</w:t>
            </w:r>
            <w:proofErr w:type="gramEnd"/>
            <w:r w:rsidRPr="00E62D26">
              <w:rPr>
                <w:rFonts w:asciiTheme="minorHAnsi" w:hAnsiTheme="minorHAnsi"/>
                <w:sz w:val="20"/>
                <w:szCs w:val="20"/>
              </w:rPr>
              <w:t xml:space="preserve"> rather than compliance. </w:t>
            </w:r>
          </w:p>
        </w:tc>
      </w:tr>
      <w:tr w:rsidR="00B950CC" w:rsidRPr="00332800" w14:paraId="2B48ED11" w14:textId="77777777" w:rsidTr="004E38D7">
        <w:trPr>
          <w:trHeight w:val="2069"/>
        </w:trPr>
        <w:tc>
          <w:tcPr>
            <w:tcW w:w="2268" w:type="dxa"/>
            <w:gridSpan w:val="2"/>
            <w:vAlign w:val="center"/>
          </w:tcPr>
          <w:p w14:paraId="0F024A35" w14:textId="77777777" w:rsidR="00B950CC" w:rsidRPr="00E62D26" w:rsidRDefault="00087C1C" w:rsidP="00646F90">
            <w:pPr>
              <w:rPr>
                <w:rFonts w:asciiTheme="minorHAnsi" w:hAnsiTheme="minorHAnsi"/>
                <w:b/>
                <w:sz w:val="20"/>
                <w:szCs w:val="20"/>
              </w:rPr>
            </w:pPr>
            <w:r w:rsidRPr="00E62D26">
              <w:rPr>
                <w:rFonts w:asciiTheme="minorHAnsi" w:hAnsiTheme="minorHAnsi"/>
                <w:b/>
                <w:sz w:val="20"/>
                <w:szCs w:val="20"/>
              </w:rPr>
              <w:lastRenderedPageBreak/>
              <w:t>Incorporating Essential Questions</w:t>
            </w:r>
            <w:r w:rsidR="009C1EFC" w:rsidRPr="00E62D26">
              <w:rPr>
                <w:rFonts w:asciiTheme="minorHAnsi" w:hAnsiTheme="minorHAnsi"/>
                <w:b/>
                <w:sz w:val="20"/>
                <w:szCs w:val="20"/>
              </w:rPr>
              <w:t xml:space="preserve"> </w:t>
            </w:r>
          </w:p>
        </w:tc>
        <w:tc>
          <w:tcPr>
            <w:tcW w:w="2880" w:type="dxa"/>
            <w:vAlign w:val="center"/>
          </w:tcPr>
          <w:p w14:paraId="65E59D35" w14:textId="77777777" w:rsidR="003D6CF3" w:rsidRPr="00E62D26" w:rsidRDefault="003D6CF3" w:rsidP="003D6CF3">
            <w:pPr>
              <w:spacing w:after="240"/>
              <w:ind w:left="720" w:hanging="720"/>
              <w:rPr>
                <w:rFonts w:asciiTheme="minorHAnsi" w:eastAsia="Times New Roman" w:hAnsiTheme="minorHAnsi"/>
                <w:sz w:val="20"/>
                <w:szCs w:val="20"/>
              </w:rPr>
            </w:pPr>
            <w:r w:rsidRPr="00E62D26">
              <w:rPr>
                <w:rFonts w:asciiTheme="minorHAnsi" w:eastAsia="Times New Roman" w:hAnsiTheme="minorHAnsi"/>
                <w:sz w:val="20"/>
                <w:szCs w:val="20"/>
              </w:rPr>
              <w:t xml:space="preserve">McTighe, J. and Wiggins, G. (2013). </w:t>
            </w:r>
            <w:r w:rsidRPr="00E62D26">
              <w:rPr>
                <w:rFonts w:asciiTheme="minorHAnsi" w:eastAsia="Times New Roman" w:hAnsiTheme="minorHAnsi"/>
                <w:i/>
                <w:sz w:val="20"/>
                <w:szCs w:val="20"/>
              </w:rPr>
              <w:t>Essential questions: Opening doors to student understanding.</w:t>
            </w:r>
            <w:r w:rsidRPr="00E62D26">
              <w:rPr>
                <w:rFonts w:asciiTheme="minorHAnsi" w:eastAsia="Times New Roman" w:hAnsiTheme="minorHAnsi"/>
                <w:sz w:val="20"/>
                <w:szCs w:val="20"/>
              </w:rPr>
              <w:t xml:space="preserve"> Alexandria, VA: Association for Supervision &amp; Curriculum Development.</w:t>
            </w:r>
          </w:p>
          <w:p w14:paraId="34CCDECF" w14:textId="77777777" w:rsidR="00B950CC" w:rsidRPr="00E62D26" w:rsidRDefault="003D6CF3" w:rsidP="003D6CF3">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Wilhelm, J. D. (2012). Essential questions. </w:t>
            </w:r>
            <w:r w:rsidRPr="00E62D26">
              <w:rPr>
                <w:rFonts w:asciiTheme="minorHAnsi" w:eastAsia="Times New Roman" w:hAnsiTheme="minorHAnsi"/>
                <w:i/>
                <w:color w:val="000000"/>
                <w:sz w:val="20"/>
                <w:szCs w:val="20"/>
              </w:rPr>
              <w:t>Instructor, 122</w:t>
            </w:r>
            <w:r w:rsidRPr="00E62D26">
              <w:rPr>
                <w:rFonts w:asciiTheme="minorHAnsi" w:eastAsia="Times New Roman" w:hAnsiTheme="minorHAnsi"/>
                <w:color w:val="000000"/>
                <w:sz w:val="20"/>
                <w:szCs w:val="20"/>
              </w:rPr>
              <w:t>(3), 24-27.</w:t>
            </w:r>
          </w:p>
        </w:tc>
        <w:tc>
          <w:tcPr>
            <w:tcW w:w="4590" w:type="dxa"/>
            <w:gridSpan w:val="2"/>
            <w:vAlign w:val="center"/>
          </w:tcPr>
          <w:p w14:paraId="328C7BE6" w14:textId="68AA5284" w:rsidR="00B950CC" w:rsidRPr="00E62D26" w:rsidRDefault="00424558" w:rsidP="00424558">
            <w:pPr>
              <w:rPr>
                <w:rFonts w:asciiTheme="minorHAnsi" w:hAnsiTheme="minorHAnsi"/>
                <w:sz w:val="20"/>
                <w:szCs w:val="20"/>
              </w:rPr>
            </w:pPr>
            <w:r w:rsidRPr="00E62D26">
              <w:rPr>
                <w:rFonts w:asciiTheme="minorHAnsi" w:hAnsiTheme="minorHAnsi"/>
                <w:sz w:val="20"/>
                <w:szCs w:val="20"/>
              </w:rPr>
              <w:t xml:space="preserve">Essential questions should be incorporated throughout every unit that is taught to students. McTighe and Wiggins (2013) argue that, “essential questions make our unit plans more likely to yield focused and thoughtful learning and learners” (p.17). Wilhelm (2012) further implies the importance of essential questions when he states,  “rather than consuming information, […] students carry out their own investigations and construct their own understandings. </w:t>
            </w:r>
          </w:p>
        </w:tc>
        <w:tc>
          <w:tcPr>
            <w:tcW w:w="4878" w:type="dxa"/>
            <w:gridSpan w:val="2"/>
            <w:vAlign w:val="center"/>
          </w:tcPr>
          <w:p w14:paraId="5279F215" w14:textId="5D6C75B2" w:rsidR="00B950CC" w:rsidRPr="00E62D26" w:rsidRDefault="00424558" w:rsidP="00620FDA">
            <w:pPr>
              <w:rPr>
                <w:rFonts w:asciiTheme="minorHAnsi" w:hAnsiTheme="minorHAnsi"/>
                <w:sz w:val="20"/>
                <w:szCs w:val="20"/>
              </w:rPr>
            </w:pPr>
            <w:r w:rsidRPr="00E62D26">
              <w:rPr>
                <w:rFonts w:asciiTheme="minorHAnsi" w:hAnsiTheme="minorHAnsi"/>
                <w:sz w:val="20"/>
                <w:szCs w:val="20"/>
              </w:rPr>
              <w:t xml:space="preserve">My UAP’s central focus is the essential questions. These are used to guide the lesson along the path in which I want students to follow. These are the questions in which I will refer to when </w:t>
            </w:r>
            <w:r w:rsidR="00620FDA" w:rsidRPr="00E62D26">
              <w:rPr>
                <w:rFonts w:asciiTheme="minorHAnsi" w:hAnsiTheme="minorHAnsi"/>
                <w:sz w:val="20"/>
                <w:szCs w:val="20"/>
              </w:rPr>
              <w:t>creating the lessons to go into my unit plan. It is essential that</w:t>
            </w:r>
            <w:r w:rsidRPr="00E62D26">
              <w:rPr>
                <w:rFonts w:asciiTheme="minorHAnsi" w:hAnsiTheme="minorHAnsi"/>
                <w:sz w:val="20"/>
                <w:szCs w:val="20"/>
              </w:rPr>
              <w:t xml:space="preserve"> I incorporate scaffolding into each lesson in order to enable students to be able to answer these questions</w:t>
            </w:r>
            <w:r w:rsidR="00620FDA" w:rsidRPr="00E62D26">
              <w:rPr>
                <w:rFonts w:asciiTheme="minorHAnsi" w:hAnsiTheme="minorHAnsi"/>
                <w:sz w:val="20"/>
                <w:szCs w:val="20"/>
              </w:rPr>
              <w:t xml:space="preserve"> at the end of the unit. These questions will enable me to observe if students are where I need them to be by the end of the unit. </w:t>
            </w:r>
          </w:p>
        </w:tc>
      </w:tr>
      <w:tr w:rsidR="00B950CC" w:rsidRPr="00332800" w14:paraId="22DF5C61" w14:textId="77777777" w:rsidTr="004E38D7">
        <w:trPr>
          <w:trHeight w:val="2069"/>
        </w:trPr>
        <w:tc>
          <w:tcPr>
            <w:tcW w:w="2268" w:type="dxa"/>
            <w:gridSpan w:val="2"/>
            <w:vAlign w:val="center"/>
          </w:tcPr>
          <w:p w14:paraId="27BB6C0F" w14:textId="29752FAD" w:rsidR="00B950CC" w:rsidRPr="00E62D26" w:rsidRDefault="009C1EFC" w:rsidP="00646F90">
            <w:pPr>
              <w:rPr>
                <w:rFonts w:asciiTheme="minorHAnsi" w:hAnsiTheme="minorHAnsi"/>
                <w:b/>
                <w:sz w:val="20"/>
                <w:szCs w:val="20"/>
              </w:rPr>
            </w:pPr>
            <w:r w:rsidRPr="00E62D26">
              <w:rPr>
                <w:rFonts w:asciiTheme="minorHAnsi" w:hAnsiTheme="minorHAnsi"/>
                <w:b/>
                <w:sz w:val="20"/>
                <w:szCs w:val="20"/>
              </w:rPr>
              <w:t xml:space="preserve">Timely </w:t>
            </w:r>
            <w:r w:rsidR="00EB5FDF">
              <w:rPr>
                <w:rFonts w:asciiTheme="minorHAnsi" w:hAnsiTheme="minorHAnsi"/>
                <w:b/>
                <w:sz w:val="20"/>
                <w:szCs w:val="20"/>
              </w:rPr>
              <w:t xml:space="preserve">and Descriptive </w:t>
            </w:r>
            <w:r w:rsidRPr="00E62D26">
              <w:rPr>
                <w:rFonts w:asciiTheme="minorHAnsi" w:hAnsiTheme="minorHAnsi"/>
                <w:b/>
                <w:sz w:val="20"/>
                <w:szCs w:val="20"/>
              </w:rPr>
              <w:t>Feedback</w:t>
            </w:r>
          </w:p>
        </w:tc>
        <w:tc>
          <w:tcPr>
            <w:tcW w:w="2880" w:type="dxa"/>
            <w:vAlign w:val="center"/>
          </w:tcPr>
          <w:p w14:paraId="24B6C358" w14:textId="77777777" w:rsidR="00423154" w:rsidRPr="00E62D26" w:rsidRDefault="00423154" w:rsidP="00423154">
            <w:pPr>
              <w:ind w:left="709" w:hanging="709"/>
              <w:rPr>
                <w:rFonts w:asciiTheme="minorHAnsi" w:hAnsiTheme="minorHAnsi"/>
                <w:sz w:val="20"/>
                <w:szCs w:val="20"/>
              </w:rPr>
            </w:pPr>
            <w:r w:rsidRPr="00E62D26">
              <w:rPr>
                <w:rFonts w:asciiTheme="minorHAnsi" w:hAnsiTheme="minorHAnsi"/>
                <w:sz w:val="20"/>
                <w:szCs w:val="20"/>
              </w:rPr>
              <w:t xml:space="preserve">Davies, A. (2011). </w:t>
            </w:r>
            <w:r w:rsidRPr="00E62D26">
              <w:rPr>
                <w:rFonts w:asciiTheme="minorHAnsi" w:hAnsiTheme="minorHAnsi"/>
                <w:i/>
                <w:sz w:val="20"/>
                <w:szCs w:val="20"/>
              </w:rPr>
              <w:t>Making classroom assessment work (3</w:t>
            </w:r>
            <w:r w:rsidRPr="00E62D26">
              <w:rPr>
                <w:rFonts w:asciiTheme="minorHAnsi" w:hAnsiTheme="minorHAnsi"/>
                <w:i/>
                <w:sz w:val="20"/>
                <w:szCs w:val="20"/>
                <w:vertAlign w:val="superscript"/>
              </w:rPr>
              <w:t>rd</w:t>
            </w:r>
            <w:r w:rsidRPr="00E62D26">
              <w:rPr>
                <w:rFonts w:asciiTheme="minorHAnsi" w:hAnsiTheme="minorHAnsi"/>
                <w:i/>
                <w:sz w:val="20"/>
                <w:szCs w:val="20"/>
              </w:rPr>
              <w:t xml:space="preserve"> Ed.). </w:t>
            </w:r>
            <w:r w:rsidRPr="00E62D26">
              <w:rPr>
                <w:rFonts w:asciiTheme="minorHAnsi" w:hAnsiTheme="minorHAnsi"/>
                <w:sz w:val="20"/>
                <w:szCs w:val="20"/>
              </w:rPr>
              <w:t>Courtney, BC: Connections Publishing.</w:t>
            </w:r>
          </w:p>
          <w:p w14:paraId="513694AD" w14:textId="53EB5CD7" w:rsidR="00B950CC" w:rsidRPr="00E62D26" w:rsidRDefault="00E62D26" w:rsidP="00E62D26">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McTighe, J., &amp; O’Connor, K. (2005). Seven practices for effective learning. </w:t>
            </w:r>
            <w:r w:rsidRPr="00E62D26">
              <w:rPr>
                <w:rFonts w:asciiTheme="minorHAnsi" w:eastAsia="Times New Roman" w:hAnsiTheme="minorHAnsi"/>
                <w:i/>
                <w:iCs/>
                <w:color w:val="000000"/>
                <w:sz w:val="20"/>
                <w:szCs w:val="20"/>
              </w:rPr>
              <w:t>Educational Leadership, 63</w:t>
            </w:r>
            <w:r w:rsidRPr="00E62D26">
              <w:rPr>
                <w:rFonts w:asciiTheme="minorHAnsi" w:eastAsia="Times New Roman" w:hAnsiTheme="minorHAnsi"/>
                <w:color w:val="000000"/>
                <w:sz w:val="20"/>
                <w:szCs w:val="20"/>
              </w:rPr>
              <w:t>(3), 10-17.</w:t>
            </w:r>
          </w:p>
        </w:tc>
        <w:tc>
          <w:tcPr>
            <w:tcW w:w="4590" w:type="dxa"/>
            <w:gridSpan w:val="2"/>
            <w:vAlign w:val="center"/>
          </w:tcPr>
          <w:p w14:paraId="35F29361" w14:textId="0E36BF4F" w:rsidR="00B950CC" w:rsidRPr="00E62D26" w:rsidRDefault="00E62D26" w:rsidP="00EB5FDF">
            <w:pPr>
              <w:rPr>
                <w:rFonts w:asciiTheme="minorHAnsi" w:hAnsiTheme="minorHAnsi"/>
                <w:sz w:val="20"/>
                <w:szCs w:val="20"/>
              </w:rPr>
            </w:pPr>
            <w:r>
              <w:rPr>
                <w:rFonts w:asciiTheme="minorHAnsi" w:hAnsiTheme="minorHAnsi"/>
                <w:sz w:val="20"/>
                <w:szCs w:val="20"/>
              </w:rPr>
              <w:t>Feedback is necessary to student learning</w:t>
            </w:r>
            <w:r w:rsidR="00EB5FDF">
              <w:rPr>
                <w:rFonts w:asciiTheme="minorHAnsi" w:hAnsiTheme="minorHAnsi"/>
                <w:sz w:val="20"/>
                <w:szCs w:val="20"/>
              </w:rPr>
              <w:t xml:space="preserve"> and it is especially important to be prompt when giving students feedback. McTighe and O’Connor explain: “feedback needs to be prompt for the learner to improve”.  Davies (2011) goes a step further and says, “teachers seeking to improve student learning are advised to reduce the amount of evaluative feedback and increase the amount of descriptive feedback” (p. 18).  In order for feedback to be effective it must be timely as well as descriptive.</w:t>
            </w:r>
          </w:p>
        </w:tc>
        <w:tc>
          <w:tcPr>
            <w:tcW w:w="4878" w:type="dxa"/>
            <w:gridSpan w:val="2"/>
            <w:vAlign w:val="center"/>
          </w:tcPr>
          <w:p w14:paraId="360CC49C" w14:textId="35A1DF31" w:rsidR="00B950CC" w:rsidRPr="00E62D26" w:rsidRDefault="00552D41" w:rsidP="00646F90">
            <w:pPr>
              <w:rPr>
                <w:rFonts w:asciiTheme="minorHAnsi" w:hAnsiTheme="minorHAnsi"/>
                <w:sz w:val="20"/>
                <w:szCs w:val="20"/>
              </w:rPr>
            </w:pPr>
            <w:r>
              <w:rPr>
                <w:rFonts w:asciiTheme="minorHAnsi" w:hAnsiTheme="minorHAnsi"/>
                <w:sz w:val="20"/>
                <w:szCs w:val="20"/>
              </w:rPr>
              <w:t xml:space="preserve">In my UAP, most of the assessments are formative. This means that I will be giving students many opportunities to receive feedback. Formative assessment allows for descriptive feedback to be given as well as encourages the teacher to point out strengths as well as given recommendations to help a student understand a concept better. I will have to dedicate myself to ensuring the feedback I give is timely in order for it to be beneficial for students. </w:t>
            </w:r>
          </w:p>
        </w:tc>
      </w:tr>
      <w:tr w:rsidR="00B950CC" w:rsidRPr="00332800" w14:paraId="037357C2" w14:textId="77777777" w:rsidTr="00E62D26">
        <w:trPr>
          <w:trHeight w:val="90"/>
        </w:trPr>
        <w:tc>
          <w:tcPr>
            <w:tcW w:w="2268" w:type="dxa"/>
            <w:gridSpan w:val="2"/>
            <w:vAlign w:val="center"/>
          </w:tcPr>
          <w:p w14:paraId="6DE7C88E" w14:textId="77777777" w:rsidR="00B950CC" w:rsidRPr="00E62D26" w:rsidRDefault="009C1EFC" w:rsidP="00646F90">
            <w:pPr>
              <w:rPr>
                <w:rFonts w:asciiTheme="minorHAnsi" w:hAnsiTheme="minorHAnsi"/>
                <w:b/>
                <w:sz w:val="20"/>
                <w:szCs w:val="20"/>
              </w:rPr>
            </w:pPr>
            <w:r w:rsidRPr="00E62D26">
              <w:rPr>
                <w:rFonts w:asciiTheme="minorHAnsi" w:hAnsiTheme="minorHAnsi"/>
                <w:b/>
                <w:sz w:val="20"/>
                <w:szCs w:val="20"/>
              </w:rPr>
              <w:t>Translating Outcomes into Student Friendly Language</w:t>
            </w:r>
          </w:p>
        </w:tc>
        <w:tc>
          <w:tcPr>
            <w:tcW w:w="2880" w:type="dxa"/>
            <w:vAlign w:val="center"/>
          </w:tcPr>
          <w:p w14:paraId="7005EF30" w14:textId="77777777" w:rsidR="003D6CF3" w:rsidRPr="00E62D26" w:rsidRDefault="003D6CF3" w:rsidP="003D6CF3">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Dueck, M. (2014). </w:t>
            </w:r>
            <w:r w:rsidRPr="00E62D26">
              <w:rPr>
                <w:rFonts w:asciiTheme="minorHAnsi" w:eastAsia="Times New Roman" w:hAnsiTheme="minorHAnsi"/>
                <w:i/>
                <w:color w:val="000000"/>
                <w:sz w:val="20"/>
                <w:szCs w:val="20"/>
              </w:rPr>
              <w:t>Grading smarter, not harder: Assessment strategies that motivate kids and help them learn.</w:t>
            </w:r>
            <w:r w:rsidRPr="00E62D26">
              <w:rPr>
                <w:rFonts w:asciiTheme="minorHAnsi" w:eastAsia="Times New Roman" w:hAnsiTheme="minorHAnsi"/>
                <w:color w:val="000000"/>
                <w:sz w:val="20"/>
                <w:szCs w:val="20"/>
              </w:rPr>
              <w:t xml:space="preserve"> Alexandria, VA: ASCD.</w:t>
            </w:r>
          </w:p>
          <w:p w14:paraId="2EB5EB2A" w14:textId="77777777" w:rsidR="00B950CC" w:rsidRPr="00E62D26" w:rsidRDefault="003D6CF3" w:rsidP="003D6CF3">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Stiggins, R. (2007). Assessment through the student’s eyes. </w:t>
            </w:r>
            <w:r w:rsidRPr="00E62D26">
              <w:rPr>
                <w:rFonts w:asciiTheme="minorHAnsi" w:eastAsia="Times New Roman" w:hAnsiTheme="minorHAnsi"/>
                <w:i/>
                <w:iCs/>
                <w:color w:val="000000"/>
                <w:sz w:val="20"/>
                <w:szCs w:val="20"/>
              </w:rPr>
              <w:t>Educational Leadership, 64</w:t>
            </w:r>
            <w:r w:rsidRPr="00E62D26">
              <w:rPr>
                <w:rFonts w:asciiTheme="minorHAnsi" w:eastAsia="Times New Roman" w:hAnsiTheme="minorHAnsi"/>
                <w:color w:val="000000"/>
                <w:sz w:val="20"/>
                <w:szCs w:val="20"/>
              </w:rPr>
              <w:t>(8), 22-26.</w:t>
            </w:r>
          </w:p>
        </w:tc>
        <w:tc>
          <w:tcPr>
            <w:tcW w:w="4590" w:type="dxa"/>
            <w:gridSpan w:val="2"/>
            <w:vAlign w:val="center"/>
          </w:tcPr>
          <w:p w14:paraId="529DB42E" w14:textId="77777777" w:rsidR="009837F7" w:rsidRPr="00E62D26" w:rsidRDefault="009837F7" w:rsidP="00620FDA">
            <w:pPr>
              <w:rPr>
                <w:rFonts w:asciiTheme="minorHAnsi" w:hAnsiTheme="minorHAnsi"/>
                <w:sz w:val="20"/>
                <w:szCs w:val="20"/>
              </w:rPr>
            </w:pPr>
          </w:p>
          <w:p w14:paraId="07162759" w14:textId="77777777" w:rsidR="009837F7" w:rsidRPr="00E62D26" w:rsidRDefault="009837F7" w:rsidP="00620FDA">
            <w:pPr>
              <w:rPr>
                <w:rFonts w:asciiTheme="minorHAnsi" w:hAnsiTheme="minorHAnsi"/>
                <w:sz w:val="20"/>
                <w:szCs w:val="20"/>
              </w:rPr>
            </w:pPr>
          </w:p>
          <w:p w14:paraId="77F0449D" w14:textId="77777777" w:rsidR="009837F7" w:rsidRPr="00E62D26" w:rsidRDefault="009837F7" w:rsidP="00620FDA">
            <w:pPr>
              <w:rPr>
                <w:rFonts w:asciiTheme="minorHAnsi" w:hAnsiTheme="minorHAnsi"/>
                <w:sz w:val="20"/>
                <w:szCs w:val="20"/>
              </w:rPr>
            </w:pPr>
          </w:p>
          <w:p w14:paraId="4A4F8DF5" w14:textId="77777777" w:rsidR="00620FDA" w:rsidRPr="00E62D26" w:rsidRDefault="00620FDA" w:rsidP="00620FDA">
            <w:pPr>
              <w:rPr>
                <w:rFonts w:asciiTheme="minorHAnsi" w:hAnsiTheme="minorHAnsi"/>
                <w:sz w:val="20"/>
                <w:szCs w:val="20"/>
              </w:rPr>
            </w:pPr>
            <w:r w:rsidRPr="00E62D26">
              <w:rPr>
                <w:rFonts w:asciiTheme="minorHAnsi" w:hAnsiTheme="minorHAnsi"/>
                <w:sz w:val="20"/>
                <w:szCs w:val="20"/>
              </w:rPr>
              <w:t xml:space="preserve">In order for students to be successful in their learning, they must know the outcomes they are trying to achieve. Stiggins (2007) states, “assessment for learning begins when teachers share achievement targets with students, presenting those expectations in student-friendly language”.  Dueck reiterates the importance of translating outcomes into student friendly language, by urging teachers to “present each target as </w:t>
            </w:r>
            <w:proofErr w:type="gramStart"/>
            <w:r w:rsidRPr="00E62D26">
              <w:rPr>
                <w:rFonts w:asciiTheme="minorHAnsi" w:hAnsiTheme="minorHAnsi"/>
                <w:sz w:val="20"/>
                <w:szCs w:val="20"/>
              </w:rPr>
              <w:t>an ‘I</w:t>
            </w:r>
            <w:proofErr w:type="gramEnd"/>
            <w:r w:rsidRPr="00E62D26">
              <w:rPr>
                <w:rFonts w:asciiTheme="minorHAnsi" w:hAnsiTheme="minorHAnsi"/>
                <w:sz w:val="20"/>
                <w:szCs w:val="20"/>
              </w:rPr>
              <w:t xml:space="preserve"> can’ statement, as this makes it easier for students to take ownership of the targets” (p. 73). </w:t>
            </w:r>
          </w:p>
          <w:p w14:paraId="75C2F0D3" w14:textId="77777777" w:rsidR="009837F7" w:rsidRPr="00E62D26" w:rsidRDefault="009837F7" w:rsidP="00620FDA">
            <w:pPr>
              <w:rPr>
                <w:rFonts w:asciiTheme="minorHAnsi" w:hAnsiTheme="minorHAnsi"/>
                <w:sz w:val="20"/>
                <w:szCs w:val="20"/>
              </w:rPr>
            </w:pPr>
          </w:p>
          <w:p w14:paraId="140B854C" w14:textId="47B9BB70" w:rsidR="009837F7" w:rsidRPr="00E62D26" w:rsidRDefault="009837F7" w:rsidP="00620FDA">
            <w:pPr>
              <w:rPr>
                <w:rFonts w:asciiTheme="minorHAnsi" w:hAnsiTheme="minorHAnsi"/>
                <w:sz w:val="20"/>
                <w:szCs w:val="20"/>
              </w:rPr>
            </w:pPr>
          </w:p>
        </w:tc>
        <w:tc>
          <w:tcPr>
            <w:tcW w:w="4878" w:type="dxa"/>
            <w:gridSpan w:val="2"/>
            <w:vAlign w:val="center"/>
          </w:tcPr>
          <w:p w14:paraId="190582B0" w14:textId="2B41033F" w:rsidR="00B950CC" w:rsidRPr="00E62D26" w:rsidRDefault="00585031" w:rsidP="00646F90">
            <w:pPr>
              <w:rPr>
                <w:rFonts w:asciiTheme="minorHAnsi" w:hAnsiTheme="minorHAnsi"/>
                <w:sz w:val="20"/>
                <w:szCs w:val="20"/>
              </w:rPr>
            </w:pPr>
            <w:r w:rsidRPr="00E62D26">
              <w:rPr>
                <w:rFonts w:asciiTheme="minorHAnsi" w:hAnsiTheme="minorHAnsi"/>
                <w:sz w:val="20"/>
                <w:szCs w:val="20"/>
              </w:rPr>
              <w:t xml:space="preserve">When planning each individual lesson to accompany my unit plan I will incorporate “I can” statements that I will post in the classroom. This will also help with the consolidation of learning because at the end of each lesson I will ask students if we are able to check off the ‘I can’ statement. This will make sure students know where the lesson is headed and keep in my mind what they should be able to do. </w:t>
            </w:r>
          </w:p>
        </w:tc>
      </w:tr>
      <w:tr w:rsidR="00B950CC" w:rsidRPr="00332800" w14:paraId="13D4DE78" w14:textId="77777777" w:rsidTr="00E67B45">
        <w:trPr>
          <w:trHeight w:val="416"/>
        </w:trPr>
        <w:tc>
          <w:tcPr>
            <w:tcW w:w="2268" w:type="dxa"/>
            <w:gridSpan w:val="2"/>
            <w:vAlign w:val="center"/>
          </w:tcPr>
          <w:p w14:paraId="7AFA5B54" w14:textId="2939BA7E" w:rsidR="00B950CC" w:rsidRPr="00E62D26" w:rsidRDefault="009C1EFC" w:rsidP="00646F90">
            <w:pPr>
              <w:rPr>
                <w:rFonts w:asciiTheme="minorHAnsi" w:hAnsiTheme="minorHAnsi"/>
                <w:b/>
                <w:sz w:val="20"/>
                <w:szCs w:val="20"/>
              </w:rPr>
            </w:pPr>
            <w:r w:rsidRPr="00E62D26">
              <w:rPr>
                <w:rFonts w:asciiTheme="minorHAnsi" w:hAnsiTheme="minorHAnsi"/>
                <w:b/>
                <w:sz w:val="20"/>
                <w:szCs w:val="20"/>
              </w:rPr>
              <w:t>Assessing Prior Knowledge</w:t>
            </w:r>
          </w:p>
        </w:tc>
        <w:tc>
          <w:tcPr>
            <w:tcW w:w="2880" w:type="dxa"/>
            <w:vAlign w:val="center"/>
          </w:tcPr>
          <w:p w14:paraId="718EAC02" w14:textId="77777777" w:rsidR="009C1EFC" w:rsidRPr="00E62D26" w:rsidRDefault="009C1EFC" w:rsidP="009C1EFC">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McTighe, J., &amp; O’Connor, K. (2005). Seven practices for effective learning. </w:t>
            </w:r>
            <w:r w:rsidRPr="00E62D26">
              <w:rPr>
                <w:rFonts w:asciiTheme="minorHAnsi" w:eastAsia="Times New Roman" w:hAnsiTheme="minorHAnsi"/>
                <w:i/>
                <w:iCs/>
                <w:color w:val="000000"/>
                <w:sz w:val="20"/>
                <w:szCs w:val="20"/>
              </w:rPr>
              <w:t>Educational Leadership, 63</w:t>
            </w:r>
            <w:r w:rsidRPr="00E62D26">
              <w:rPr>
                <w:rFonts w:asciiTheme="minorHAnsi" w:eastAsia="Times New Roman" w:hAnsiTheme="minorHAnsi"/>
                <w:color w:val="000000"/>
                <w:sz w:val="20"/>
                <w:szCs w:val="20"/>
              </w:rPr>
              <w:t>(3), 10-17.</w:t>
            </w:r>
          </w:p>
          <w:p w14:paraId="3969D2FD" w14:textId="19E76FFD" w:rsidR="00B950CC" w:rsidRPr="00E62D26" w:rsidRDefault="00184DF2" w:rsidP="00E67B45">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Dueck, M. (2014). </w:t>
            </w:r>
            <w:r w:rsidRPr="00E62D26">
              <w:rPr>
                <w:rFonts w:asciiTheme="minorHAnsi" w:eastAsia="Times New Roman" w:hAnsiTheme="minorHAnsi"/>
                <w:i/>
                <w:color w:val="000000"/>
                <w:sz w:val="20"/>
                <w:szCs w:val="20"/>
              </w:rPr>
              <w:t>Grading smarter, not harder: Assessment strategies that motivate kids and help them learn.</w:t>
            </w:r>
            <w:r w:rsidRPr="00E62D26">
              <w:rPr>
                <w:rFonts w:asciiTheme="minorHAnsi" w:eastAsia="Times New Roman" w:hAnsiTheme="minorHAnsi"/>
                <w:color w:val="000000"/>
                <w:sz w:val="20"/>
                <w:szCs w:val="20"/>
              </w:rPr>
              <w:t xml:space="preserve"> Alexandria, VA: ASCD.</w:t>
            </w:r>
          </w:p>
        </w:tc>
        <w:tc>
          <w:tcPr>
            <w:tcW w:w="4590" w:type="dxa"/>
            <w:gridSpan w:val="2"/>
            <w:vAlign w:val="center"/>
          </w:tcPr>
          <w:p w14:paraId="2BD00702" w14:textId="7D053486" w:rsidR="00B950CC" w:rsidRPr="00E62D26" w:rsidRDefault="00585031" w:rsidP="00646F90">
            <w:pPr>
              <w:rPr>
                <w:rFonts w:asciiTheme="minorHAnsi" w:hAnsiTheme="minorHAnsi"/>
                <w:sz w:val="20"/>
                <w:szCs w:val="20"/>
              </w:rPr>
            </w:pPr>
            <w:r w:rsidRPr="00E62D26">
              <w:rPr>
                <w:rFonts w:asciiTheme="minorHAnsi" w:hAnsiTheme="minorHAnsi"/>
                <w:sz w:val="20"/>
                <w:szCs w:val="20"/>
              </w:rPr>
              <w:t xml:space="preserve">Assessing student’s prior knowledge is essential to planning meaningful lessons. Dueck (2014) implies this important by stating, “the extent to which students already know the material can guide future activities” (p. 81). </w:t>
            </w:r>
            <w:r w:rsidR="00553CD8" w:rsidRPr="00E62D26">
              <w:rPr>
                <w:rFonts w:asciiTheme="minorHAnsi" w:hAnsiTheme="minorHAnsi"/>
                <w:sz w:val="20"/>
                <w:szCs w:val="20"/>
              </w:rPr>
              <w:t xml:space="preserve"> McTighe and O’Connor (2005) reinforce the importance of pre-assessment by stating, “a teacher gains greater insight into </w:t>
            </w:r>
            <w:r w:rsidR="00553CD8" w:rsidRPr="00E62D26">
              <w:rPr>
                <w:rFonts w:asciiTheme="minorHAnsi" w:hAnsiTheme="minorHAnsi"/>
                <w:i/>
                <w:sz w:val="20"/>
                <w:szCs w:val="20"/>
              </w:rPr>
              <w:t>what</w:t>
            </w:r>
            <w:r w:rsidR="00553CD8" w:rsidRPr="00E62D26">
              <w:rPr>
                <w:rFonts w:asciiTheme="minorHAnsi" w:hAnsiTheme="minorHAnsi"/>
                <w:sz w:val="20"/>
                <w:szCs w:val="20"/>
              </w:rPr>
              <w:t xml:space="preserve"> to teach, by knowing what skill gaps to address or by skipping material previously mastered”.</w:t>
            </w:r>
          </w:p>
        </w:tc>
        <w:tc>
          <w:tcPr>
            <w:tcW w:w="4878" w:type="dxa"/>
            <w:gridSpan w:val="2"/>
            <w:vAlign w:val="center"/>
          </w:tcPr>
          <w:p w14:paraId="66A99C0F" w14:textId="33363611" w:rsidR="00B950CC" w:rsidRPr="00E62D26" w:rsidRDefault="006557A3" w:rsidP="006557A3">
            <w:pPr>
              <w:rPr>
                <w:rFonts w:asciiTheme="minorHAnsi" w:hAnsiTheme="minorHAnsi"/>
                <w:sz w:val="20"/>
                <w:szCs w:val="20"/>
              </w:rPr>
            </w:pPr>
            <w:r w:rsidRPr="00E62D26">
              <w:rPr>
                <w:rFonts w:asciiTheme="minorHAnsi" w:hAnsiTheme="minorHAnsi"/>
                <w:sz w:val="20"/>
                <w:szCs w:val="20"/>
              </w:rPr>
              <w:t xml:space="preserve">The first activity in my UAP is designed to test student’s prior knowledge about inferring. It will help me to readjust certain concepts or gaps that there may be in my planning. Students are able to show me how much they already know about inferring. This will then allow me to skip concepts they are confident with and spend more time on concepts that seem to be unsure of. </w:t>
            </w:r>
          </w:p>
        </w:tc>
      </w:tr>
      <w:tr w:rsidR="00B950CC" w:rsidRPr="00332800" w14:paraId="26D928A4" w14:textId="77777777" w:rsidTr="004E38D7">
        <w:trPr>
          <w:trHeight w:val="2069"/>
        </w:trPr>
        <w:tc>
          <w:tcPr>
            <w:tcW w:w="2268" w:type="dxa"/>
            <w:gridSpan w:val="2"/>
            <w:vAlign w:val="center"/>
          </w:tcPr>
          <w:p w14:paraId="68674E19" w14:textId="77777777" w:rsidR="00B950CC" w:rsidRPr="00E62D26" w:rsidRDefault="00087C1C" w:rsidP="00646F90">
            <w:pPr>
              <w:rPr>
                <w:rFonts w:asciiTheme="minorHAnsi" w:hAnsiTheme="minorHAnsi"/>
                <w:b/>
                <w:sz w:val="20"/>
                <w:szCs w:val="20"/>
              </w:rPr>
            </w:pPr>
            <w:r w:rsidRPr="00E62D26">
              <w:rPr>
                <w:rFonts w:asciiTheme="minorHAnsi" w:hAnsiTheme="minorHAnsi"/>
                <w:b/>
                <w:sz w:val="20"/>
                <w:szCs w:val="20"/>
              </w:rPr>
              <w:t>Expressing Knowledge in Preferred Modality</w:t>
            </w:r>
          </w:p>
        </w:tc>
        <w:tc>
          <w:tcPr>
            <w:tcW w:w="2880" w:type="dxa"/>
            <w:vAlign w:val="center"/>
          </w:tcPr>
          <w:p w14:paraId="5E2C113D" w14:textId="77777777" w:rsidR="00087C1C" w:rsidRPr="00E62D26" w:rsidRDefault="00087C1C" w:rsidP="00087C1C">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 xml:space="preserve">McTighe, J., &amp; O’Connor, K. (2005). Seven practices for effective learning. </w:t>
            </w:r>
            <w:r w:rsidRPr="00E62D26">
              <w:rPr>
                <w:rFonts w:asciiTheme="minorHAnsi" w:eastAsia="Times New Roman" w:hAnsiTheme="minorHAnsi"/>
                <w:i/>
                <w:iCs/>
                <w:color w:val="000000"/>
                <w:sz w:val="20"/>
                <w:szCs w:val="20"/>
              </w:rPr>
              <w:t>Educational Leadership, 63</w:t>
            </w:r>
            <w:r w:rsidRPr="00E62D26">
              <w:rPr>
                <w:rFonts w:asciiTheme="minorHAnsi" w:eastAsia="Times New Roman" w:hAnsiTheme="minorHAnsi"/>
                <w:color w:val="000000"/>
                <w:sz w:val="20"/>
                <w:szCs w:val="20"/>
              </w:rPr>
              <w:t>(3), 10-17.</w:t>
            </w:r>
          </w:p>
          <w:p w14:paraId="5B9E2A2C" w14:textId="77777777" w:rsidR="00FB2221" w:rsidRPr="00E62D26" w:rsidRDefault="00184DF2" w:rsidP="00184DF2">
            <w:pPr>
              <w:spacing w:after="240"/>
              <w:ind w:left="720" w:hanging="720"/>
              <w:rPr>
                <w:rFonts w:asciiTheme="minorHAnsi" w:eastAsia="Times New Roman" w:hAnsiTheme="minorHAnsi"/>
                <w:color w:val="000000"/>
                <w:sz w:val="20"/>
                <w:szCs w:val="20"/>
              </w:rPr>
            </w:pPr>
            <w:r w:rsidRPr="00E62D26">
              <w:rPr>
                <w:rFonts w:asciiTheme="minorHAnsi" w:eastAsia="Times New Roman" w:hAnsiTheme="minorHAnsi"/>
                <w:color w:val="000000"/>
                <w:sz w:val="20"/>
                <w:szCs w:val="20"/>
              </w:rPr>
              <w:t>Tomlinson, C. A. (2007). Learning to love assessment. </w:t>
            </w:r>
            <w:r w:rsidRPr="00E62D26">
              <w:rPr>
                <w:rFonts w:asciiTheme="minorHAnsi" w:eastAsia="Times New Roman" w:hAnsiTheme="minorHAnsi"/>
                <w:i/>
                <w:iCs/>
                <w:color w:val="000000"/>
                <w:sz w:val="20"/>
                <w:szCs w:val="20"/>
              </w:rPr>
              <w:t>Educational Leadership, 64</w:t>
            </w:r>
            <w:r w:rsidRPr="00E62D26">
              <w:rPr>
                <w:rFonts w:asciiTheme="minorHAnsi" w:eastAsia="Times New Roman" w:hAnsiTheme="minorHAnsi"/>
                <w:color w:val="000000"/>
                <w:sz w:val="20"/>
                <w:szCs w:val="20"/>
              </w:rPr>
              <w:t>(4), 8-13.</w:t>
            </w:r>
          </w:p>
          <w:p w14:paraId="5DC4D218" w14:textId="77777777" w:rsidR="00B950CC" w:rsidRPr="00E62D26" w:rsidRDefault="00B950CC" w:rsidP="00646F90">
            <w:pPr>
              <w:rPr>
                <w:rFonts w:asciiTheme="minorHAnsi" w:hAnsiTheme="minorHAnsi"/>
                <w:sz w:val="20"/>
                <w:szCs w:val="20"/>
              </w:rPr>
            </w:pPr>
          </w:p>
        </w:tc>
        <w:tc>
          <w:tcPr>
            <w:tcW w:w="4590" w:type="dxa"/>
            <w:gridSpan w:val="2"/>
            <w:vAlign w:val="center"/>
          </w:tcPr>
          <w:p w14:paraId="62BCC313" w14:textId="777E1BD7" w:rsidR="00B950CC" w:rsidRPr="00E62D26" w:rsidRDefault="00FA63EE" w:rsidP="00FA63EE">
            <w:pPr>
              <w:rPr>
                <w:rFonts w:asciiTheme="minorHAnsi" w:hAnsiTheme="minorHAnsi"/>
                <w:sz w:val="20"/>
                <w:szCs w:val="20"/>
              </w:rPr>
            </w:pPr>
            <w:r w:rsidRPr="00E62D26">
              <w:rPr>
                <w:rFonts w:asciiTheme="minorHAnsi" w:hAnsiTheme="minorHAnsi"/>
                <w:sz w:val="20"/>
                <w:szCs w:val="20"/>
              </w:rPr>
              <w:t xml:space="preserve">In order for a teacher to truly know whether a student understands a concept fully it is important to allow the student to express their knowledge in their preferred modality. McTighe and O’Connor state, “students differ not only in how they prefer to take in and process information but also in how they best demonstrate their learning”. Tomlinson (2007) echoes this sentiment by expressing that “differentiation isn’t just an option” when it comes to assessment; rather it is necessary to student learning and engagement.  </w:t>
            </w:r>
          </w:p>
        </w:tc>
        <w:tc>
          <w:tcPr>
            <w:tcW w:w="4878" w:type="dxa"/>
            <w:gridSpan w:val="2"/>
            <w:vAlign w:val="center"/>
          </w:tcPr>
          <w:p w14:paraId="7E94A05E" w14:textId="564C510F" w:rsidR="00B950CC" w:rsidRPr="00E62D26" w:rsidRDefault="00FA63EE" w:rsidP="00646F90">
            <w:pPr>
              <w:rPr>
                <w:rFonts w:asciiTheme="minorHAnsi" w:hAnsiTheme="minorHAnsi"/>
                <w:sz w:val="20"/>
                <w:szCs w:val="20"/>
              </w:rPr>
            </w:pPr>
            <w:r w:rsidRPr="00E62D26">
              <w:rPr>
                <w:rFonts w:asciiTheme="minorHAnsi" w:hAnsiTheme="minorHAnsi"/>
                <w:sz w:val="20"/>
                <w:szCs w:val="20"/>
              </w:rPr>
              <w:t xml:space="preserve">Throughout my UAP, I have designed different assessment tools </w:t>
            </w:r>
            <w:r w:rsidR="00C5029F" w:rsidRPr="00E62D26">
              <w:rPr>
                <w:rFonts w:asciiTheme="minorHAnsi" w:hAnsiTheme="minorHAnsi"/>
                <w:sz w:val="20"/>
                <w:szCs w:val="20"/>
              </w:rPr>
              <w:t xml:space="preserve">that allow students to show their knowledge in a variety of ways. Students have the option to draw pictures, act out their answer, speak their answer or write their answer. Often when the word differentiation is mentioned my mind jumps straight to instructions; however, I think it is as essential to differentiate assessment as well. </w:t>
            </w:r>
          </w:p>
        </w:tc>
      </w:tr>
    </w:tbl>
    <w:p w14:paraId="73F8E408" w14:textId="77777777" w:rsidR="00C258C7" w:rsidRPr="00646F90" w:rsidRDefault="00C258C7">
      <w:pPr>
        <w:rPr>
          <w:rFonts w:ascii="Calibri" w:hAnsi="Calibri"/>
          <w:sz w:val="4"/>
        </w:rPr>
      </w:pPr>
    </w:p>
    <w:sectPr w:rsidR="00C258C7" w:rsidRPr="00646F90" w:rsidSect="00332800">
      <w:pgSz w:w="15840" w:h="12240" w:orient="landscape"/>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00"/>
    <w:rsid w:val="00087C1C"/>
    <w:rsid w:val="00120732"/>
    <w:rsid w:val="00184DF2"/>
    <w:rsid w:val="00236E30"/>
    <w:rsid w:val="00260C68"/>
    <w:rsid w:val="00332800"/>
    <w:rsid w:val="0034472A"/>
    <w:rsid w:val="003B32EB"/>
    <w:rsid w:val="003D6CF3"/>
    <w:rsid w:val="003F355E"/>
    <w:rsid w:val="003F7C1F"/>
    <w:rsid w:val="00423154"/>
    <w:rsid w:val="00424558"/>
    <w:rsid w:val="00454F49"/>
    <w:rsid w:val="004E38D7"/>
    <w:rsid w:val="00552D41"/>
    <w:rsid w:val="00553CD8"/>
    <w:rsid w:val="00585031"/>
    <w:rsid w:val="00620FDA"/>
    <w:rsid w:val="00646F90"/>
    <w:rsid w:val="006557A3"/>
    <w:rsid w:val="00814EBC"/>
    <w:rsid w:val="00840DCC"/>
    <w:rsid w:val="008A1A4F"/>
    <w:rsid w:val="00904192"/>
    <w:rsid w:val="009837F7"/>
    <w:rsid w:val="009C1EFC"/>
    <w:rsid w:val="00B950CC"/>
    <w:rsid w:val="00BC0C4B"/>
    <w:rsid w:val="00BC2C98"/>
    <w:rsid w:val="00C258C7"/>
    <w:rsid w:val="00C5029F"/>
    <w:rsid w:val="00D129F9"/>
    <w:rsid w:val="00DA0A4C"/>
    <w:rsid w:val="00E62D26"/>
    <w:rsid w:val="00E67B45"/>
    <w:rsid w:val="00EB5FDF"/>
    <w:rsid w:val="00F84CD7"/>
    <w:rsid w:val="00FA63EE"/>
    <w:rsid w:val="00FB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24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table" w:styleId="TableGrid">
    <w:name w:val="Table Grid"/>
    <w:basedOn w:val="TableNormal"/>
    <w:uiPriority w:val="59"/>
    <w:rsid w:val="00332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table" w:styleId="TableGrid">
    <w:name w:val="Table Grid"/>
    <w:basedOn w:val="TableNormal"/>
    <w:uiPriority w:val="59"/>
    <w:rsid w:val="00332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09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6637</Characters>
  <Application>Microsoft Macintosh Word</Application>
  <DocSecurity>0</DocSecurity>
  <Lines>55</Lines>
  <Paragraphs>15</Paragraphs>
  <ScaleCrop>false</ScaleCrop>
  <Company>University of Lethbridge</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Kristen ter Steege</cp:lastModifiedBy>
  <cp:revision>2</cp:revision>
  <dcterms:created xsi:type="dcterms:W3CDTF">2015-03-06T23:18:00Z</dcterms:created>
  <dcterms:modified xsi:type="dcterms:W3CDTF">2015-03-06T23:18:00Z</dcterms:modified>
</cp:coreProperties>
</file>